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D668" w14:textId="77777777" w:rsidR="004A2294" w:rsidRDefault="00AD5507" w:rsidP="004A2294">
      <w:pPr>
        <w:jc w:val="center"/>
        <w:rPr>
          <w:b/>
          <w:sz w:val="96"/>
          <w:szCs w:val="96"/>
        </w:rPr>
      </w:pPr>
      <w:r>
        <w:rPr>
          <w:b/>
          <w:noProof/>
          <w:sz w:val="96"/>
          <w:szCs w:val="96"/>
          <w:lang w:eastAsia="en-GB"/>
        </w:rPr>
        <w:drawing>
          <wp:anchor distT="0" distB="0" distL="114300" distR="114300" simplePos="0" relativeHeight="251660288" behindDoc="1" locked="0" layoutInCell="1" allowOverlap="1" wp14:anchorId="43E81189" wp14:editId="38F58C10">
            <wp:simplePos x="0" y="0"/>
            <wp:positionH relativeFrom="column">
              <wp:posOffset>3962400</wp:posOffset>
            </wp:positionH>
            <wp:positionV relativeFrom="paragraph">
              <wp:posOffset>-371475</wp:posOffset>
            </wp:positionV>
            <wp:extent cx="2400300" cy="714375"/>
            <wp:effectExtent l="0" t="0" r="0" b="9525"/>
            <wp:wrapTight wrapText="bothSides">
              <wp:wrapPolygon edited="0">
                <wp:start x="14743" y="0"/>
                <wp:lineTo x="10971" y="9216"/>
                <wp:lineTo x="0" y="10368"/>
                <wp:lineTo x="0" y="16128"/>
                <wp:lineTo x="1886" y="18432"/>
                <wp:lineTo x="1886" y="21312"/>
                <wp:lineTo x="20400" y="21312"/>
                <wp:lineTo x="21257" y="21312"/>
                <wp:lineTo x="21429" y="20736"/>
                <wp:lineTo x="21429" y="0"/>
                <wp:lineTo x="14743" y="0"/>
              </wp:wrapPolygon>
            </wp:wrapTight>
            <wp:docPr id="2" name="Picture 2" descr="v:\Desktop\Salford-roy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esktop\Salford-roy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96"/>
          <w:szCs w:val="96"/>
          <w:lang w:eastAsia="en-GB"/>
        </w:rPr>
        <w:drawing>
          <wp:anchor distT="0" distB="0" distL="114300" distR="114300" simplePos="0" relativeHeight="251659264" behindDoc="1" locked="0" layoutInCell="1" allowOverlap="1" wp14:anchorId="3F0B0CBE" wp14:editId="25F4A114">
            <wp:simplePos x="0" y="0"/>
            <wp:positionH relativeFrom="column">
              <wp:posOffset>-466725</wp:posOffset>
            </wp:positionH>
            <wp:positionV relativeFrom="paragraph">
              <wp:posOffset>-295275</wp:posOffset>
            </wp:positionV>
            <wp:extent cx="2143125" cy="714375"/>
            <wp:effectExtent l="0" t="0" r="9525" b="9525"/>
            <wp:wrapTight wrapText="bothSides">
              <wp:wrapPolygon edited="0">
                <wp:start x="4800" y="0"/>
                <wp:lineTo x="0" y="576"/>
                <wp:lineTo x="0" y="6912"/>
                <wp:lineTo x="960" y="9792"/>
                <wp:lineTo x="960" y="14400"/>
                <wp:lineTo x="2688" y="19008"/>
                <wp:lineTo x="1536" y="19584"/>
                <wp:lineTo x="768" y="20160"/>
                <wp:lineTo x="768" y="21312"/>
                <wp:lineTo x="3648" y="21312"/>
                <wp:lineTo x="21504" y="19008"/>
                <wp:lineTo x="21504" y="9792"/>
                <wp:lineTo x="17472" y="9792"/>
                <wp:lineTo x="17856" y="4608"/>
                <wp:lineTo x="13248" y="1152"/>
                <wp:lineTo x="5952" y="0"/>
                <wp:lineTo x="4800" y="0"/>
              </wp:wrapPolygon>
            </wp:wrapTight>
            <wp:docPr id="4" name="Picture 4" descr="v:\Desktop\header-saving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esktop\header-savingt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E22E8" w14:textId="77777777" w:rsidR="00DE6182" w:rsidRPr="004A2294" w:rsidRDefault="004A2294" w:rsidP="004A2294">
      <w:pPr>
        <w:jc w:val="center"/>
        <w:rPr>
          <w:b/>
          <w:sz w:val="96"/>
          <w:szCs w:val="96"/>
        </w:rPr>
      </w:pPr>
      <w:r>
        <w:rPr>
          <w:b/>
          <w:sz w:val="96"/>
          <w:szCs w:val="96"/>
        </w:rPr>
        <w:t>Welcome to</w:t>
      </w:r>
    </w:p>
    <w:p w14:paraId="578DF0ED" w14:textId="77777777" w:rsidR="00AD5507" w:rsidRDefault="00AD5507">
      <w:pPr>
        <w:rPr>
          <w:b/>
          <w:sz w:val="96"/>
          <w:szCs w:val="96"/>
        </w:rPr>
      </w:pPr>
      <w:r>
        <w:rPr>
          <w:b/>
          <w:noProof/>
          <w:sz w:val="96"/>
          <w:szCs w:val="96"/>
          <w:lang w:eastAsia="en-GB"/>
        </w:rPr>
        <w:drawing>
          <wp:anchor distT="0" distB="0" distL="114300" distR="114300" simplePos="0" relativeHeight="251658240" behindDoc="1" locked="0" layoutInCell="1" allowOverlap="1" wp14:anchorId="34D43DC1" wp14:editId="4D51E583">
            <wp:simplePos x="0" y="0"/>
            <wp:positionH relativeFrom="column">
              <wp:posOffset>1249045</wp:posOffset>
            </wp:positionH>
            <wp:positionV relativeFrom="paragraph">
              <wp:posOffset>189230</wp:posOffset>
            </wp:positionV>
            <wp:extent cx="3257550" cy="4469130"/>
            <wp:effectExtent l="0" t="0" r="0" b="7620"/>
            <wp:wrapTight wrapText="bothSides">
              <wp:wrapPolygon edited="0">
                <wp:start x="0" y="0"/>
                <wp:lineTo x="0" y="21545"/>
                <wp:lineTo x="21474" y="21545"/>
                <wp:lineTo x="21474" y="0"/>
                <wp:lineTo x="0" y="0"/>
              </wp:wrapPolygon>
            </wp:wrapTight>
            <wp:docPr id="1" name="Picture 1" descr="v:\Desktop\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sktop\EA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446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09B58" w14:textId="77777777" w:rsidR="00AD5507" w:rsidRDefault="00AD5507">
      <w:pPr>
        <w:rPr>
          <w:b/>
          <w:sz w:val="96"/>
          <w:szCs w:val="96"/>
        </w:rPr>
      </w:pPr>
    </w:p>
    <w:p w14:paraId="44348AB6" w14:textId="77777777" w:rsidR="00AD5507" w:rsidRDefault="00AD5507">
      <w:pPr>
        <w:rPr>
          <w:b/>
          <w:sz w:val="96"/>
          <w:szCs w:val="96"/>
        </w:rPr>
      </w:pPr>
    </w:p>
    <w:p w14:paraId="2EBA38D1" w14:textId="77777777" w:rsidR="00AD5507" w:rsidRDefault="00AD5507">
      <w:pPr>
        <w:rPr>
          <w:b/>
          <w:sz w:val="96"/>
          <w:szCs w:val="96"/>
        </w:rPr>
      </w:pPr>
    </w:p>
    <w:p w14:paraId="39227574" w14:textId="77777777" w:rsidR="00AD5507" w:rsidRDefault="00AD5507">
      <w:pPr>
        <w:rPr>
          <w:b/>
          <w:sz w:val="96"/>
          <w:szCs w:val="96"/>
        </w:rPr>
      </w:pPr>
    </w:p>
    <w:p w14:paraId="7A00C093" w14:textId="77777777" w:rsidR="00AD5507" w:rsidRDefault="00AD5507">
      <w:pPr>
        <w:rPr>
          <w:b/>
          <w:sz w:val="28"/>
          <w:szCs w:val="28"/>
        </w:rPr>
      </w:pPr>
    </w:p>
    <w:p w14:paraId="09E8B4A7" w14:textId="77777777" w:rsidR="00AD5507" w:rsidRDefault="00AD5507">
      <w:pPr>
        <w:rPr>
          <w:b/>
          <w:sz w:val="28"/>
          <w:szCs w:val="28"/>
        </w:rPr>
      </w:pPr>
    </w:p>
    <w:p w14:paraId="3F6717DA" w14:textId="77777777" w:rsidR="00AD5507" w:rsidRDefault="00AD5507">
      <w:pPr>
        <w:rPr>
          <w:b/>
          <w:sz w:val="28"/>
          <w:szCs w:val="28"/>
        </w:rPr>
      </w:pPr>
    </w:p>
    <w:p w14:paraId="710ACDF9" w14:textId="77777777" w:rsidR="00AD5507" w:rsidRPr="00AD5507" w:rsidRDefault="00AD5507">
      <w:pPr>
        <w:rPr>
          <w:b/>
          <w:sz w:val="28"/>
          <w:szCs w:val="28"/>
        </w:rPr>
      </w:pPr>
      <w:r w:rsidRPr="00AD5507">
        <w:rPr>
          <w:b/>
          <w:sz w:val="28"/>
          <w:szCs w:val="28"/>
        </w:rPr>
        <w:t>Student nurse:</w:t>
      </w:r>
      <w:r>
        <w:rPr>
          <w:b/>
          <w:sz w:val="28"/>
          <w:szCs w:val="28"/>
        </w:rPr>
        <w:tab/>
      </w:r>
      <w:r>
        <w:rPr>
          <w:b/>
          <w:sz w:val="28"/>
          <w:szCs w:val="28"/>
        </w:rPr>
        <w:tab/>
      </w:r>
      <w:r>
        <w:rPr>
          <w:b/>
          <w:sz w:val="28"/>
          <w:szCs w:val="28"/>
        </w:rPr>
        <w:tab/>
      </w:r>
      <w:r>
        <w:rPr>
          <w:b/>
          <w:sz w:val="28"/>
          <w:szCs w:val="28"/>
        </w:rPr>
        <w:tab/>
      </w:r>
      <w:r w:rsidRPr="00AD5507">
        <w:rPr>
          <w:b/>
          <w:sz w:val="28"/>
          <w:szCs w:val="28"/>
        </w:rPr>
        <w:t>Assessor/Supervisors</w:t>
      </w:r>
      <w:r>
        <w:rPr>
          <w:b/>
          <w:sz w:val="28"/>
          <w:szCs w:val="28"/>
        </w:rPr>
        <w:t>:</w:t>
      </w:r>
    </w:p>
    <w:p w14:paraId="468CCA1C" w14:textId="77777777" w:rsidR="00AD5507" w:rsidRDefault="00AD5507" w:rsidP="00AD5507">
      <w:pPr>
        <w:rPr>
          <w:b/>
          <w:sz w:val="28"/>
          <w:szCs w:val="28"/>
        </w:rPr>
      </w:pPr>
      <w:r w:rsidRPr="00AD5507">
        <w:rPr>
          <w:b/>
          <w:sz w:val="28"/>
          <w:szCs w:val="28"/>
        </w:rPr>
        <w:t>Year:</w:t>
      </w:r>
      <w:r w:rsidRPr="00AD5507">
        <w:rPr>
          <w:b/>
          <w:sz w:val="28"/>
          <w:szCs w:val="28"/>
        </w:rPr>
        <w:tab/>
      </w:r>
      <w:r w:rsidRPr="00AD5507">
        <w:rPr>
          <w:b/>
          <w:sz w:val="28"/>
          <w:szCs w:val="28"/>
        </w:rPr>
        <w:tab/>
        <w:t>Semester:</w:t>
      </w:r>
      <w:r w:rsidR="00E21C93">
        <w:rPr>
          <w:b/>
          <w:sz w:val="28"/>
          <w:szCs w:val="28"/>
        </w:rPr>
        <w:tab/>
      </w:r>
      <w:r w:rsidR="00E21C93">
        <w:rPr>
          <w:b/>
          <w:sz w:val="28"/>
          <w:szCs w:val="28"/>
        </w:rPr>
        <w:tab/>
      </w:r>
      <w:r>
        <w:rPr>
          <w:b/>
          <w:sz w:val="28"/>
          <w:szCs w:val="28"/>
        </w:rPr>
        <w:tab/>
      </w:r>
      <w:r w:rsidRPr="00AD5507">
        <w:rPr>
          <w:b/>
          <w:sz w:val="28"/>
          <w:szCs w:val="28"/>
        </w:rPr>
        <w:t>Start/End Date:</w:t>
      </w:r>
    </w:p>
    <w:p w14:paraId="2232695E" w14:textId="77777777" w:rsidR="006F78F1" w:rsidRDefault="006F78F1" w:rsidP="004449CD">
      <w:pPr>
        <w:jc w:val="center"/>
        <w:rPr>
          <w:sz w:val="28"/>
          <w:szCs w:val="28"/>
        </w:rPr>
      </w:pPr>
      <w:r>
        <w:rPr>
          <w:b/>
          <w:sz w:val="28"/>
          <w:szCs w:val="28"/>
          <w:u w:val="single"/>
        </w:rPr>
        <w:br w:type="page"/>
      </w:r>
      <w:r>
        <w:rPr>
          <w:b/>
          <w:sz w:val="28"/>
          <w:szCs w:val="28"/>
          <w:u w:val="single"/>
        </w:rPr>
        <w:lastRenderedPageBreak/>
        <w:t>Ward Information:</w:t>
      </w:r>
    </w:p>
    <w:p w14:paraId="030102C9" w14:textId="77777777" w:rsidR="006F78F1" w:rsidRPr="00ED2575" w:rsidRDefault="006F78F1">
      <w:r w:rsidRPr="00ED2575">
        <w:t>EAU is a 55 bedded unit consisting of 4 different areas:</w:t>
      </w:r>
    </w:p>
    <w:p w14:paraId="58D47F02" w14:textId="77777777" w:rsidR="006F78F1" w:rsidRPr="00ED2575" w:rsidRDefault="006F78F1">
      <w:r w:rsidRPr="00ED2575">
        <w:rPr>
          <w:b/>
        </w:rPr>
        <w:t>Ambulatory Assessment Unit</w:t>
      </w:r>
      <w:r w:rsidRPr="00ED2575">
        <w:t>, AAA (Zone 1) – 16 beds and 2 side rooms</w:t>
      </w:r>
    </w:p>
    <w:p w14:paraId="6B194D16" w14:textId="77777777" w:rsidR="006F78F1" w:rsidRPr="00ED2575" w:rsidRDefault="006F78F1">
      <w:r w:rsidRPr="00ED2575">
        <w:rPr>
          <w:b/>
        </w:rPr>
        <w:t>Comprehensive Older Person Evaluation</w:t>
      </w:r>
      <w:r w:rsidRPr="00ED2575">
        <w:t>, COPE (Zone 2) – 12 beds and 6 side rooms</w:t>
      </w:r>
    </w:p>
    <w:p w14:paraId="44AF4246" w14:textId="77777777" w:rsidR="006F78F1" w:rsidRPr="00ED2575" w:rsidRDefault="006F78F1">
      <w:r w:rsidRPr="00ED2575">
        <w:rPr>
          <w:b/>
        </w:rPr>
        <w:t>High Intensity Treatment</w:t>
      </w:r>
      <w:r w:rsidRPr="00ED2575">
        <w:t>, HIT (Zone 3) – 12 beds and 7 side rooms</w:t>
      </w:r>
    </w:p>
    <w:p w14:paraId="128E45E2" w14:textId="77777777" w:rsidR="006F78F1" w:rsidRPr="00ED2575" w:rsidRDefault="006F78F1">
      <w:r w:rsidRPr="00ED2575">
        <w:rPr>
          <w:b/>
        </w:rPr>
        <w:t>Ambulatory Emergency Care</w:t>
      </w:r>
      <w:r w:rsidRPr="00ED2575">
        <w:t xml:space="preserve">, AEC – 30 seats divided into 2 rooms and </w:t>
      </w:r>
      <w:r w:rsidR="00ED2575" w:rsidRPr="00ED2575">
        <w:t>5 treatment rooms</w:t>
      </w:r>
    </w:p>
    <w:p w14:paraId="771BA965" w14:textId="77777777" w:rsidR="006F78F1" w:rsidRDefault="00ED2575">
      <w:pPr>
        <w:rPr>
          <w:i/>
        </w:rPr>
      </w:pPr>
      <w:r>
        <w:rPr>
          <w:i/>
        </w:rPr>
        <w:t>We aim for a rotation between the different areas, meaning you will be exposed to different learning opportunities depending on which area you are working in.</w:t>
      </w:r>
    </w:p>
    <w:p w14:paraId="7B3E6DAA" w14:textId="77777777" w:rsidR="00E21C93" w:rsidRPr="00E21C93" w:rsidRDefault="00E21C93"/>
    <w:p w14:paraId="25021B34" w14:textId="77777777" w:rsidR="00E21C93" w:rsidRDefault="00E21C93">
      <w:pPr>
        <w:rPr>
          <w:b/>
        </w:rPr>
      </w:pPr>
      <w:r w:rsidRPr="00E21C93">
        <w:rPr>
          <w:b/>
        </w:rPr>
        <w:t>Management</w:t>
      </w:r>
      <w:r>
        <w:rPr>
          <w:b/>
        </w:rPr>
        <w:t>:</w:t>
      </w:r>
    </w:p>
    <w:p w14:paraId="5CDA6AE3" w14:textId="4C72CA5E" w:rsidR="00E21C93" w:rsidRDefault="00E21C93">
      <w:r>
        <w:t xml:space="preserve">Lead Nurse: </w:t>
      </w:r>
      <w:r w:rsidR="000F037D">
        <w:t>Lisa Coleby</w:t>
      </w:r>
    </w:p>
    <w:p w14:paraId="42436DDE" w14:textId="494EE51F" w:rsidR="00E21C93" w:rsidRPr="00E21C93" w:rsidRDefault="00E21C93">
      <w:r>
        <w:t>Matrons: Debra Fletcher-Collins, Vicky Daye</w:t>
      </w:r>
      <w:r w:rsidR="003071F1">
        <w:t xml:space="preserve">, Laura </w:t>
      </w:r>
      <w:proofErr w:type="gramStart"/>
      <w:r w:rsidR="003071F1">
        <w:t>Malone</w:t>
      </w:r>
      <w:proofErr w:type="gramEnd"/>
      <w:r w:rsidR="003071F1">
        <w:t xml:space="preserve"> and Lauren Hynes</w:t>
      </w:r>
    </w:p>
    <w:p w14:paraId="2FDAAA9A" w14:textId="77777777" w:rsidR="00ED2575" w:rsidRDefault="00ED2575"/>
    <w:p w14:paraId="72CF9E53" w14:textId="77777777" w:rsidR="00ED2575" w:rsidRDefault="00ED2575">
      <w:r>
        <w:rPr>
          <w:b/>
        </w:rPr>
        <w:t>Practice assessor and supervisor:</w:t>
      </w:r>
    </w:p>
    <w:p w14:paraId="21F9C1D4" w14:textId="7EF3C843" w:rsidR="00ED2575" w:rsidRDefault="00ED2575">
      <w:r>
        <w:t xml:space="preserve">Upon initially contacting the ward for off duty you will have been assigned a Practice Assessor (PA) and one or more Practice Supervisors (PS). You will have gotten the initial </w:t>
      </w:r>
      <w:r w:rsidR="00C45D8B">
        <w:t>4</w:t>
      </w:r>
      <w:r>
        <w:t xml:space="preserve"> weeks of off duty by the PEL working shifts with your PS. Please ensure that you do work with the Practice Supervisor during your shifts as they are responsible for recording your attendance and reporting back to the PA. For remaining off duty, please discuss this during your initial meeting with the PS or with the PA.</w:t>
      </w:r>
    </w:p>
    <w:p w14:paraId="058D963F" w14:textId="77777777" w:rsidR="00244DD1" w:rsidRDefault="00ED2575">
      <w:r>
        <w:t xml:space="preserve">The PA will be responsible to complete your midpoint and final assessment. They will receive feedback from your PS regarding your attendance and professional </w:t>
      </w:r>
      <w:proofErr w:type="gramStart"/>
      <w:r>
        <w:t>manner, but</w:t>
      </w:r>
      <w:proofErr w:type="gramEnd"/>
      <w:r>
        <w:t xml:space="preserve"> may also work with you to make their own assessments, or observe you</w:t>
      </w:r>
      <w:r w:rsidR="00244DD1">
        <w:t xml:space="preserve"> for a period of time or during procedures connected to your competencies.</w:t>
      </w:r>
    </w:p>
    <w:p w14:paraId="23C99327" w14:textId="77777777" w:rsidR="00E21C93" w:rsidRDefault="00244DD1">
      <w:r>
        <w:t xml:space="preserve">Your PA/PS are there to support you during your placement and work towards your individual learning </w:t>
      </w:r>
      <w:proofErr w:type="gramStart"/>
      <w:r>
        <w:t>needs .</w:t>
      </w:r>
      <w:proofErr w:type="gramEnd"/>
      <w:r>
        <w:t xml:space="preserve"> If you have any concerns, please discuss this with your PA, or PEL.</w:t>
      </w:r>
    </w:p>
    <w:p w14:paraId="071F15B7" w14:textId="77777777" w:rsidR="006F78F1" w:rsidRPr="00E21C93" w:rsidRDefault="006F78F1">
      <w:r>
        <w:rPr>
          <w:b/>
          <w:sz w:val="28"/>
          <w:szCs w:val="28"/>
          <w:u w:val="single"/>
        </w:rPr>
        <w:br w:type="page"/>
      </w:r>
    </w:p>
    <w:p w14:paraId="21197642" w14:textId="77777777" w:rsidR="00046CF1" w:rsidRDefault="00AD5507" w:rsidP="00046CF1">
      <w:pPr>
        <w:jc w:val="center"/>
        <w:rPr>
          <w:b/>
          <w:sz w:val="28"/>
          <w:szCs w:val="28"/>
          <w:u w:val="single"/>
        </w:rPr>
      </w:pPr>
      <w:r w:rsidRPr="00AD5507">
        <w:rPr>
          <w:b/>
          <w:sz w:val="28"/>
          <w:szCs w:val="28"/>
          <w:u w:val="single"/>
        </w:rPr>
        <w:lastRenderedPageBreak/>
        <w:t>Useful information</w:t>
      </w:r>
      <w:r w:rsidR="004449CD">
        <w:rPr>
          <w:b/>
          <w:sz w:val="28"/>
          <w:szCs w:val="28"/>
          <w:u w:val="single"/>
        </w:rPr>
        <w:t>:</w:t>
      </w:r>
    </w:p>
    <w:p w14:paraId="68DA7FB7" w14:textId="77777777" w:rsidR="00046CF1" w:rsidRDefault="00046CF1" w:rsidP="00046CF1">
      <w:pPr>
        <w:rPr>
          <w:b/>
          <w:sz w:val="28"/>
          <w:szCs w:val="28"/>
        </w:rPr>
      </w:pPr>
      <w:r>
        <w:rPr>
          <w:b/>
          <w:sz w:val="28"/>
          <w:szCs w:val="28"/>
        </w:rPr>
        <w:t xml:space="preserve">Where to find us: </w:t>
      </w:r>
      <w:r>
        <w:rPr>
          <w:sz w:val="28"/>
          <w:szCs w:val="28"/>
        </w:rPr>
        <w:t xml:space="preserve"> </w:t>
      </w:r>
      <w:r w:rsidRPr="00046CF1">
        <w:t xml:space="preserve">EAU is located in the Hope building on the ground floor between </w:t>
      </w:r>
      <w:proofErr w:type="gramStart"/>
      <w:r w:rsidRPr="00046CF1">
        <w:t>Lloyds</w:t>
      </w:r>
      <w:proofErr w:type="gramEnd"/>
      <w:r w:rsidRPr="00046CF1">
        <w:t xml:space="preserve"> pharmacy and WHSmith.</w:t>
      </w:r>
    </w:p>
    <w:p w14:paraId="74831FF3" w14:textId="77777777" w:rsidR="00046CF1" w:rsidRPr="00056829" w:rsidRDefault="00046CF1" w:rsidP="00046CF1">
      <w:pPr>
        <w:rPr>
          <w:b/>
          <w:sz w:val="28"/>
          <w:szCs w:val="28"/>
        </w:rPr>
      </w:pPr>
      <w:r w:rsidRPr="00056829">
        <w:rPr>
          <w:b/>
          <w:sz w:val="28"/>
          <w:szCs w:val="28"/>
        </w:rPr>
        <w:t>EAU Practice Education Link (PEL)</w:t>
      </w:r>
    </w:p>
    <w:p w14:paraId="6E98B86B" w14:textId="72B8A169" w:rsidR="000F037D" w:rsidRDefault="000F037D" w:rsidP="00046CF1">
      <w:r>
        <w:t xml:space="preserve">Sister Jade Teeling </w:t>
      </w:r>
      <w:r>
        <w:tab/>
      </w:r>
      <w:r>
        <w:tab/>
      </w:r>
      <w:r>
        <w:tab/>
      </w:r>
      <w:hyperlink r:id="rId9" w:history="1">
        <w:r w:rsidRPr="00463F84">
          <w:rPr>
            <w:rStyle w:val="Hyperlink"/>
          </w:rPr>
          <w:t>jade.teeling@nca.nhs.uk</w:t>
        </w:r>
      </w:hyperlink>
      <w:r>
        <w:t xml:space="preserve"> </w:t>
      </w:r>
    </w:p>
    <w:p w14:paraId="30154077" w14:textId="3DB7C54D" w:rsidR="003071F1" w:rsidRDefault="003071F1" w:rsidP="00046CF1">
      <w:r>
        <w:t>Sister Emily Cook</w:t>
      </w:r>
      <w:r>
        <w:tab/>
      </w:r>
      <w:r>
        <w:tab/>
      </w:r>
      <w:r>
        <w:tab/>
        <w:t>Emily.cook@nca.nhs.uk</w:t>
      </w:r>
    </w:p>
    <w:p w14:paraId="57810642" w14:textId="168B0703" w:rsidR="00046CF1" w:rsidRPr="00056829" w:rsidRDefault="00046CF1" w:rsidP="00046CF1">
      <w:pPr>
        <w:rPr>
          <w:b/>
          <w:sz w:val="28"/>
          <w:szCs w:val="28"/>
        </w:rPr>
      </w:pPr>
      <w:r w:rsidRPr="00056829">
        <w:rPr>
          <w:b/>
          <w:sz w:val="28"/>
          <w:szCs w:val="28"/>
        </w:rPr>
        <w:t>EAU Practice Education Facilitator (PEF)</w:t>
      </w:r>
    </w:p>
    <w:p w14:paraId="0BD9E693" w14:textId="77777777" w:rsidR="00056829" w:rsidRPr="00785F53" w:rsidRDefault="00046CF1" w:rsidP="00046CF1">
      <w:pPr>
        <w:rPr>
          <w:rFonts w:ascii="Segoe UI" w:hAnsi="Segoe UI" w:cs="Segoe UI"/>
          <w:color w:val="666666"/>
          <w:sz w:val="20"/>
          <w:szCs w:val="20"/>
        </w:rPr>
      </w:pPr>
      <w:proofErr w:type="spellStart"/>
      <w:r w:rsidRPr="00056829">
        <w:t>Julianah</w:t>
      </w:r>
      <w:proofErr w:type="spellEnd"/>
      <w:r w:rsidRPr="00056829">
        <w:t xml:space="preserve"> </w:t>
      </w:r>
      <w:proofErr w:type="spellStart"/>
      <w:r w:rsidRPr="00056829">
        <w:t>Oluwasakin</w:t>
      </w:r>
      <w:proofErr w:type="spellEnd"/>
      <w:r>
        <w:rPr>
          <w:sz w:val="28"/>
          <w:szCs w:val="28"/>
        </w:rPr>
        <w:tab/>
      </w:r>
      <w:r>
        <w:rPr>
          <w:sz w:val="28"/>
          <w:szCs w:val="28"/>
        </w:rPr>
        <w:tab/>
      </w:r>
      <w:r w:rsidR="00554D28">
        <w:rPr>
          <w:sz w:val="28"/>
          <w:szCs w:val="28"/>
        </w:rPr>
        <w:tab/>
      </w:r>
      <w:hyperlink r:id="rId10" w:history="1">
        <w:r w:rsidRPr="00056829">
          <w:rPr>
            <w:rStyle w:val="Hyperlink"/>
            <w:rFonts w:cs="Segoe UI"/>
          </w:rPr>
          <w:t>Julianah.Oluwasakin@srft.nhs.uk</w:t>
        </w:r>
      </w:hyperlink>
    </w:p>
    <w:p w14:paraId="416F4BA7" w14:textId="77777777" w:rsidR="00785F53" w:rsidRDefault="00785F53" w:rsidP="00046CF1">
      <w:pPr>
        <w:rPr>
          <w:b/>
          <w:sz w:val="28"/>
          <w:szCs w:val="28"/>
        </w:rPr>
      </w:pPr>
    </w:p>
    <w:p w14:paraId="65B60CA0" w14:textId="77777777" w:rsidR="00056829" w:rsidRDefault="00056829" w:rsidP="00046CF1">
      <w:pPr>
        <w:rPr>
          <w:b/>
          <w:sz w:val="28"/>
          <w:szCs w:val="28"/>
        </w:rPr>
      </w:pPr>
      <w:r>
        <w:rPr>
          <w:b/>
          <w:sz w:val="28"/>
          <w:szCs w:val="28"/>
        </w:rPr>
        <w:t>University Link Lecturer:</w:t>
      </w:r>
    </w:p>
    <w:p w14:paraId="25C40780" w14:textId="4E18F603" w:rsidR="00785F53" w:rsidRPr="003071F1" w:rsidRDefault="00056829" w:rsidP="00056829">
      <w:r>
        <w:t>Melanie Stephens &amp; Sue Walker</w:t>
      </w:r>
    </w:p>
    <w:p w14:paraId="6C60760A" w14:textId="77777777" w:rsidR="00056829" w:rsidRPr="00056829" w:rsidRDefault="00056829" w:rsidP="00056829">
      <w:pPr>
        <w:rPr>
          <w:sz w:val="28"/>
          <w:szCs w:val="28"/>
        </w:rPr>
      </w:pPr>
      <w:r w:rsidRPr="00056829">
        <w:rPr>
          <w:b/>
          <w:sz w:val="28"/>
          <w:szCs w:val="28"/>
        </w:rPr>
        <w:t>Sickness:</w:t>
      </w:r>
    </w:p>
    <w:p w14:paraId="4B9D54D8" w14:textId="0A8B3905" w:rsidR="00244DD1" w:rsidRDefault="00056829" w:rsidP="00056829">
      <w:pPr>
        <w:rPr>
          <w:b/>
          <w:i/>
        </w:rPr>
      </w:pPr>
      <w:r>
        <w:t xml:space="preserve">If you are ill, please contact </w:t>
      </w:r>
      <w:r w:rsidR="000F037D">
        <w:t>EAU nurse in charge</w:t>
      </w:r>
      <w:r>
        <w:t xml:space="preserve"> (</w:t>
      </w:r>
      <w:r w:rsidRPr="00056829">
        <w:rPr>
          <w:b/>
          <w:i/>
        </w:rPr>
        <w:t xml:space="preserve">0161 206 </w:t>
      </w:r>
      <w:r w:rsidR="000F037D">
        <w:rPr>
          <w:b/>
          <w:i/>
        </w:rPr>
        <w:t>8765</w:t>
      </w:r>
      <w:r>
        <w:t xml:space="preserve">) as soon as possible, informing us the nature of your illness and how long you are expecting to be off. Please also provide us with a date for contact with your Assessor, Supervisor or one of the PELs so that we know when to expect your return to the unit. </w:t>
      </w:r>
      <w:r w:rsidRPr="00056829">
        <w:rPr>
          <w:b/>
          <w:i/>
        </w:rPr>
        <w:t>Please be advised that it</w:t>
      </w:r>
      <w:r>
        <w:rPr>
          <w:b/>
          <w:i/>
        </w:rPr>
        <w:t xml:space="preserve"> is not acceptable to text staff members </w:t>
      </w:r>
      <w:r w:rsidRPr="00056829">
        <w:rPr>
          <w:b/>
          <w:i/>
        </w:rPr>
        <w:t>that you are ill, as any sickness needs to be officially reported, and registered for auditing purposes.</w:t>
      </w:r>
    </w:p>
    <w:p w14:paraId="6DCCBC01" w14:textId="77777777" w:rsidR="00785F53" w:rsidRPr="00D42033" w:rsidRDefault="00785F53" w:rsidP="00056829">
      <w:pPr>
        <w:rPr>
          <w:b/>
          <w:sz w:val="28"/>
          <w:szCs w:val="28"/>
        </w:rPr>
      </w:pPr>
      <w:r w:rsidRPr="00D42033">
        <w:rPr>
          <w:b/>
          <w:sz w:val="28"/>
          <w:szCs w:val="28"/>
        </w:rPr>
        <w:t>Phone numbers:</w:t>
      </w:r>
    </w:p>
    <w:p w14:paraId="0372127E" w14:textId="2A8CD4F9" w:rsidR="00785F53" w:rsidRPr="00D42033" w:rsidRDefault="00785F53" w:rsidP="00056829">
      <w:r w:rsidRPr="00D42033">
        <w:t xml:space="preserve">EAU front desk: </w:t>
      </w:r>
      <w:r w:rsidR="00D42033" w:rsidRPr="00D42033">
        <w:tab/>
      </w:r>
      <w:r w:rsidRPr="00D42033">
        <w:t>0161 206 4908</w:t>
      </w:r>
    </w:p>
    <w:p w14:paraId="4A3C2013" w14:textId="77777777" w:rsidR="00785F53" w:rsidRPr="00D42033" w:rsidRDefault="00785F53" w:rsidP="00056829">
      <w:r w:rsidRPr="00D42033">
        <w:t xml:space="preserve">EAU Nurse in charge: </w:t>
      </w:r>
      <w:r w:rsidR="00D42033" w:rsidRPr="00D42033">
        <w:tab/>
      </w:r>
      <w:r w:rsidRPr="00D42033">
        <w:t>0161 206 8765</w:t>
      </w:r>
    </w:p>
    <w:p w14:paraId="7FA74A7F" w14:textId="77777777" w:rsidR="00D42033" w:rsidRPr="004449CD" w:rsidRDefault="00D42033" w:rsidP="004449CD">
      <w:pPr>
        <w:jc w:val="center"/>
        <w:rPr>
          <w:b/>
          <w:sz w:val="28"/>
          <w:szCs w:val="28"/>
          <w:u w:val="single"/>
        </w:rPr>
      </w:pPr>
      <w:r w:rsidRPr="004449CD">
        <w:rPr>
          <w:b/>
          <w:sz w:val="28"/>
          <w:szCs w:val="28"/>
          <w:u w:val="single"/>
        </w:rPr>
        <w:t>Health and Safety</w:t>
      </w:r>
      <w:r w:rsidR="004449CD" w:rsidRPr="004449CD">
        <w:rPr>
          <w:b/>
          <w:sz w:val="28"/>
          <w:szCs w:val="28"/>
          <w:u w:val="single"/>
        </w:rPr>
        <w:t>:</w:t>
      </w:r>
    </w:p>
    <w:p w14:paraId="4FE1E2EC" w14:textId="77777777" w:rsidR="00D42033" w:rsidRPr="00CC5ECC" w:rsidRDefault="00D42033" w:rsidP="00056829">
      <w:r w:rsidRPr="00CC5ECC">
        <w:rPr>
          <w:b/>
          <w:sz w:val="24"/>
          <w:szCs w:val="24"/>
        </w:rPr>
        <w:t>Fire</w:t>
      </w:r>
      <w:r w:rsidRPr="00CC5ECC">
        <w:rPr>
          <w:b/>
        </w:rPr>
        <w:t>:</w:t>
      </w:r>
      <w:r w:rsidRPr="00CC5ECC">
        <w:t xml:space="preserve"> Please familiarise yourself with the emergency exits and alarms during your first day. If needed, please be aware that the phone number in case of a fire is </w:t>
      </w:r>
      <w:r w:rsidR="00DE6182">
        <w:t>3333</w:t>
      </w:r>
      <w:r w:rsidRPr="00CC5ECC">
        <w:t>.</w:t>
      </w:r>
    </w:p>
    <w:p w14:paraId="27CB4A15" w14:textId="77777777" w:rsidR="00D42033" w:rsidRPr="00CC5ECC" w:rsidRDefault="00D42033" w:rsidP="00056829">
      <w:r w:rsidRPr="00CC5ECC">
        <w:rPr>
          <w:b/>
          <w:sz w:val="24"/>
          <w:szCs w:val="24"/>
        </w:rPr>
        <w:t>Manual Handing:</w:t>
      </w:r>
      <w:r w:rsidRPr="00CC5ECC">
        <w:t xml:space="preserve"> It is your responsibility that your Mandatory Training has been </w:t>
      </w:r>
      <w:proofErr w:type="gramStart"/>
      <w:r w:rsidRPr="00CC5ECC">
        <w:t>completed, and</w:t>
      </w:r>
      <w:proofErr w:type="gramEnd"/>
      <w:r w:rsidRPr="00CC5ECC">
        <w:t xml:space="preserve"> be sure that you can show evidence of this to your practice assessor/supervisor.</w:t>
      </w:r>
    </w:p>
    <w:p w14:paraId="3CE5D302" w14:textId="77777777" w:rsidR="00CC5ECC" w:rsidRDefault="00D42033" w:rsidP="00056829">
      <w:pPr>
        <w:rPr>
          <w:b/>
          <w:i/>
        </w:rPr>
      </w:pPr>
      <w:r w:rsidRPr="00CC5ECC">
        <w:rPr>
          <w:b/>
          <w:sz w:val="24"/>
          <w:szCs w:val="24"/>
        </w:rPr>
        <w:t>Infection control:</w:t>
      </w:r>
      <w:r w:rsidRPr="00CC5ECC">
        <w:rPr>
          <w:b/>
        </w:rPr>
        <w:t xml:space="preserve"> </w:t>
      </w:r>
      <w:r w:rsidR="00CC5ECC" w:rsidRPr="00CC5ECC">
        <w:t>While you are</w:t>
      </w:r>
      <w:r w:rsidRPr="00CC5ECC">
        <w:t xml:space="preserve"> on placement, please ens</w:t>
      </w:r>
      <w:r w:rsidR="00CC5ECC" w:rsidRPr="00CC5ECC">
        <w:t xml:space="preserve">ure that you adhere to the ANTT policy regarding PPE and handwashing. </w:t>
      </w:r>
      <w:r w:rsidR="00CC5ECC" w:rsidRPr="00CC5ECC">
        <w:rPr>
          <w:b/>
          <w:i/>
        </w:rPr>
        <w:t>You, as students, can highlight any staff members not following the policy to a manager, PA, PS or nurse in charge on the day – it is everyone’s responsibility.</w:t>
      </w:r>
    </w:p>
    <w:p w14:paraId="57DCC339" w14:textId="77777777" w:rsidR="00CC5ECC" w:rsidRDefault="00CC5ECC" w:rsidP="00056829">
      <w:r>
        <w:rPr>
          <w:b/>
        </w:rPr>
        <w:t xml:space="preserve">Needle stick injury: </w:t>
      </w:r>
      <w:r>
        <w:t xml:space="preserve">In the event you sustain a needle stick injury; make it bleed, wash thoroughly and attend either Occupational Health (09.00-16.00) or A&amp;E (16.00 – 09.00). Please also report it to </w:t>
      </w:r>
      <w:r>
        <w:lastRenderedPageBreak/>
        <w:t>nurse in charge on the day and complete an adverse incident report (DATIX). You will be supported through this by your practice supervisor on shift.</w:t>
      </w:r>
    </w:p>
    <w:p w14:paraId="4B3A5732" w14:textId="77777777" w:rsidR="00CC5ECC" w:rsidRDefault="00CC5ECC" w:rsidP="00056829">
      <w:r>
        <w:rPr>
          <w:b/>
        </w:rPr>
        <w:t>Personal items:</w:t>
      </w:r>
      <w:r>
        <w:t xml:space="preserve"> Please label any food or drink with name and date before leaving in the fridge. There are currently no lockers available on EAU, so personal items can be left in the staff room; please ensure that you do not bring any valuables into work – it is your responsibility to look after your own belongings. </w:t>
      </w:r>
    </w:p>
    <w:p w14:paraId="182FEBD0" w14:textId="6B989F0B" w:rsidR="00CC5ECC" w:rsidRDefault="00CC5ECC" w:rsidP="00056829">
      <w:r>
        <w:rPr>
          <w:b/>
        </w:rPr>
        <w:t>Code of conduct:</w:t>
      </w:r>
      <w:r>
        <w:t xml:space="preserve"> You are</w:t>
      </w:r>
      <w:r w:rsidR="00E0242B">
        <w:t>,</w:t>
      </w:r>
      <w:r>
        <w:t xml:space="preserve"> as students</w:t>
      </w:r>
      <w:r w:rsidR="00E0242B">
        <w:t>,</w:t>
      </w:r>
      <w:r>
        <w:t xml:space="preserve"> expected to know your limitations while working. Do not hesitate to ask for help with any equipment or procedures you are unfamiliar with.</w:t>
      </w:r>
    </w:p>
    <w:p w14:paraId="01764B74" w14:textId="77777777" w:rsidR="008D4CA5" w:rsidRDefault="00CC5ECC" w:rsidP="00056829">
      <w:r>
        <w:t xml:space="preserve">During your placement you need to wear the correct uniform, according to the uniform policy. This means, among other things, that you are expected to keep your hair above the collar of your uniform, no jewellery apart from a single pair of stud earrings and a plain wedding band. </w:t>
      </w:r>
      <w:r w:rsidR="004449CD">
        <w:t>You are expected to not wear</w:t>
      </w:r>
      <w:r>
        <w:t xml:space="preserve"> watches, or sleeves are allowed below the elbows, and no false nails or nail polish</w:t>
      </w:r>
      <w:r w:rsidR="004449CD">
        <w:t xml:space="preserve"> in accordance to trust policies.</w:t>
      </w:r>
    </w:p>
    <w:p w14:paraId="32396028" w14:textId="77777777" w:rsidR="008D4CA5" w:rsidRDefault="008D4CA5">
      <w:r>
        <w:br w:type="page"/>
      </w:r>
    </w:p>
    <w:p w14:paraId="5E2AAF27" w14:textId="77777777" w:rsidR="008D4CA5" w:rsidRDefault="008D4CA5" w:rsidP="00056829">
      <w:pPr>
        <w:rPr>
          <w:b/>
          <w:sz w:val="28"/>
          <w:szCs w:val="28"/>
        </w:rPr>
      </w:pPr>
      <w:r>
        <w:rPr>
          <w:b/>
          <w:sz w:val="28"/>
          <w:szCs w:val="28"/>
        </w:rPr>
        <w:lastRenderedPageBreak/>
        <w:t>Spoke placements</w:t>
      </w:r>
    </w:p>
    <w:p w14:paraId="268E6198" w14:textId="77777777" w:rsidR="008D4CA5" w:rsidRDefault="008D4CA5" w:rsidP="00056829">
      <w:pPr>
        <w:rPr>
          <w:i/>
        </w:rPr>
      </w:pPr>
      <w:r w:rsidRPr="008D4CA5">
        <w:rPr>
          <w:i/>
        </w:rPr>
        <w:t xml:space="preserve">You can, during your placement, do spokes in areas interesting to yourself. These spokes are available while you are on EAU, but please ensure that the spoke is suitable to your level of studies and that you complete a reflection piece after each of them and submit this to your PEL or Practice Assessor. The person you are completing the spoke with (nurses, specialists, </w:t>
      </w:r>
      <w:proofErr w:type="spellStart"/>
      <w:r w:rsidRPr="008D4CA5">
        <w:rPr>
          <w:i/>
        </w:rPr>
        <w:t>bedmanagers</w:t>
      </w:r>
      <w:proofErr w:type="spellEnd"/>
      <w:r w:rsidRPr="008D4CA5">
        <w:rPr>
          <w:i/>
        </w:rPr>
        <w:t xml:space="preserve"> etc.) will soon get access to PARE enabling them to give you written feedback.  </w:t>
      </w:r>
    </w:p>
    <w:p w14:paraId="3F42CE19" w14:textId="77777777" w:rsidR="00554D28" w:rsidRDefault="00554D28" w:rsidP="00056829">
      <w:pPr>
        <w:rPr>
          <w:b/>
          <w:i/>
        </w:rPr>
      </w:pPr>
    </w:p>
    <w:tbl>
      <w:tblPr>
        <w:tblStyle w:val="TableGrid"/>
        <w:tblW w:w="0" w:type="auto"/>
        <w:tblLayout w:type="fixed"/>
        <w:tblLook w:val="04A0" w:firstRow="1" w:lastRow="0" w:firstColumn="1" w:lastColumn="0" w:noHBand="0" w:noVBand="1"/>
      </w:tblPr>
      <w:tblGrid>
        <w:gridCol w:w="1819"/>
        <w:gridCol w:w="2542"/>
        <w:gridCol w:w="1216"/>
        <w:gridCol w:w="1823"/>
        <w:gridCol w:w="1822"/>
      </w:tblGrid>
      <w:tr w:rsidR="008D4CA5" w14:paraId="36851518" w14:textId="77777777" w:rsidTr="00AE5D97">
        <w:trPr>
          <w:trHeight w:val="817"/>
        </w:trPr>
        <w:tc>
          <w:tcPr>
            <w:tcW w:w="1819" w:type="dxa"/>
          </w:tcPr>
          <w:p w14:paraId="00E972AC" w14:textId="77777777" w:rsidR="008D4CA5" w:rsidRDefault="008D4CA5" w:rsidP="00056829">
            <w:pPr>
              <w:rPr>
                <w:b/>
                <w:i/>
              </w:rPr>
            </w:pPr>
            <w:r>
              <w:rPr>
                <w:b/>
                <w:i/>
              </w:rPr>
              <w:t>Spoke</w:t>
            </w:r>
          </w:p>
        </w:tc>
        <w:tc>
          <w:tcPr>
            <w:tcW w:w="2542" w:type="dxa"/>
          </w:tcPr>
          <w:p w14:paraId="16E0DEF1" w14:textId="77777777" w:rsidR="008D4CA5" w:rsidRDefault="008D4CA5" w:rsidP="00056829">
            <w:pPr>
              <w:rPr>
                <w:b/>
                <w:i/>
              </w:rPr>
            </w:pPr>
            <w:r>
              <w:rPr>
                <w:b/>
                <w:i/>
              </w:rPr>
              <w:t>Learning opportunities</w:t>
            </w:r>
          </w:p>
        </w:tc>
        <w:tc>
          <w:tcPr>
            <w:tcW w:w="1216" w:type="dxa"/>
          </w:tcPr>
          <w:p w14:paraId="4BD58EB4" w14:textId="77777777" w:rsidR="008D4CA5" w:rsidRDefault="008D4CA5" w:rsidP="00056829">
            <w:pPr>
              <w:rPr>
                <w:b/>
                <w:i/>
              </w:rPr>
            </w:pPr>
            <w:r>
              <w:rPr>
                <w:b/>
                <w:i/>
              </w:rPr>
              <w:t>Recommended year of studies</w:t>
            </w:r>
          </w:p>
        </w:tc>
        <w:tc>
          <w:tcPr>
            <w:tcW w:w="1823" w:type="dxa"/>
          </w:tcPr>
          <w:p w14:paraId="5AD07BD9" w14:textId="77777777" w:rsidR="008D4CA5" w:rsidRDefault="008D4CA5" w:rsidP="00056829">
            <w:pPr>
              <w:rPr>
                <w:b/>
                <w:i/>
              </w:rPr>
            </w:pPr>
            <w:r>
              <w:rPr>
                <w:b/>
                <w:i/>
              </w:rPr>
              <w:t>Placement contact detail</w:t>
            </w:r>
          </w:p>
        </w:tc>
        <w:tc>
          <w:tcPr>
            <w:tcW w:w="1822" w:type="dxa"/>
          </w:tcPr>
          <w:p w14:paraId="0B2C1DEF" w14:textId="77777777" w:rsidR="008D4CA5" w:rsidRDefault="008D4CA5" w:rsidP="00056829">
            <w:pPr>
              <w:rPr>
                <w:b/>
                <w:i/>
              </w:rPr>
            </w:pPr>
            <w:r>
              <w:rPr>
                <w:b/>
                <w:i/>
              </w:rPr>
              <w:t>Suitable length of spoke</w:t>
            </w:r>
          </w:p>
        </w:tc>
      </w:tr>
      <w:tr w:rsidR="008D4CA5" w14:paraId="5BD347B9" w14:textId="77777777" w:rsidTr="00AE5D97">
        <w:trPr>
          <w:trHeight w:val="277"/>
        </w:trPr>
        <w:tc>
          <w:tcPr>
            <w:tcW w:w="1819" w:type="dxa"/>
          </w:tcPr>
          <w:p w14:paraId="2A870732" w14:textId="77777777" w:rsidR="008D4CA5" w:rsidRPr="008D4CA5" w:rsidRDefault="008D4CA5" w:rsidP="00056829">
            <w:r w:rsidRPr="008D4CA5">
              <w:t>Accident &amp; Emergency</w:t>
            </w:r>
          </w:p>
        </w:tc>
        <w:tc>
          <w:tcPr>
            <w:tcW w:w="2542" w:type="dxa"/>
          </w:tcPr>
          <w:p w14:paraId="192BDBF6" w14:textId="77777777" w:rsidR="008D4CA5" w:rsidRPr="008D4CA5" w:rsidRDefault="008D4CA5" w:rsidP="00056829">
            <w:r w:rsidRPr="008D4CA5">
              <w:t>Various</w:t>
            </w:r>
          </w:p>
        </w:tc>
        <w:tc>
          <w:tcPr>
            <w:tcW w:w="1216" w:type="dxa"/>
          </w:tcPr>
          <w:p w14:paraId="42A23B31" w14:textId="77777777" w:rsidR="008D4CA5" w:rsidRPr="008D4CA5" w:rsidRDefault="008D4CA5" w:rsidP="00056829"/>
        </w:tc>
        <w:tc>
          <w:tcPr>
            <w:tcW w:w="1823" w:type="dxa"/>
          </w:tcPr>
          <w:p w14:paraId="0D2EFF90" w14:textId="1CBE67C6" w:rsidR="008D4CA5" w:rsidRPr="008D4CA5" w:rsidRDefault="000F037D" w:rsidP="00056829">
            <w:r>
              <w:t>206 2877</w:t>
            </w:r>
          </w:p>
        </w:tc>
        <w:tc>
          <w:tcPr>
            <w:tcW w:w="1822" w:type="dxa"/>
          </w:tcPr>
          <w:p w14:paraId="5F0EF4D4" w14:textId="77777777" w:rsidR="008D4CA5" w:rsidRPr="008D4CA5" w:rsidRDefault="008D4CA5" w:rsidP="00056829">
            <w:r w:rsidRPr="008D4CA5">
              <w:t>1-2 shifts</w:t>
            </w:r>
          </w:p>
        </w:tc>
      </w:tr>
      <w:tr w:rsidR="008D4CA5" w14:paraId="610FB0C1" w14:textId="77777777" w:rsidTr="00AE5D97">
        <w:trPr>
          <w:trHeight w:val="262"/>
        </w:trPr>
        <w:tc>
          <w:tcPr>
            <w:tcW w:w="1819" w:type="dxa"/>
          </w:tcPr>
          <w:p w14:paraId="537374D3" w14:textId="77777777" w:rsidR="008D4CA5" w:rsidRPr="008D4CA5" w:rsidRDefault="00AE5D97" w:rsidP="00056829">
            <w:r>
              <w:t>Substance misuse team</w:t>
            </w:r>
          </w:p>
        </w:tc>
        <w:tc>
          <w:tcPr>
            <w:tcW w:w="2542" w:type="dxa"/>
          </w:tcPr>
          <w:p w14:paraId="0F559CB8" w14:textId="77777777" w:rsidR="008D4CA5" w:rsidRPr="008D4CA5" w:rsidRDefault="00AE5D97" w:rsidP="00056829">
            <w:r>
              <w:t>Substance withdrawal and safe management</w:t>
            </w:r>
          </w:p>
        </w:tc>
        <w:tc>
          <w:tcPr>
            <w:tcW w:w="1216" w:type="dxa"/>
          </w:tcPr>
          <w:p w14:paraId="6269FF0E" w14:textId="77777777" w:rsidR="008D4CA5" w:rsidRPr="008D4CA5" w:rsidRDefault="008D4CA5" w:rsidP="00056829"/>
        </w:tc>
        <w:tc>
          <w:tcPr>
            <w:tcW w:w="1823" w:type="dxa"/>
          </w:tcPr>
          <w:p w14:paraId="176AAF7A" w14:textId="77777777" w:rsidR="00AE5D97" w:rsidRDefault="00AE5D97" w:rsidP="00056829">
            <w:r>
              <w:t xml:space="preserve">Ruth Brown </w:t>
            </w:r>
          </w:p>
          <w:p w14:paraId="72DAAAAB" w14:textId="77777777" w:rsidR="00AE5D97" w:rsidRDefault="00AE5D97" w:rsidP="00056829">
            <w:r>
              <w:t xml:space="preserve">206 4206 </w:t>
            </w:r>
          </w:p>
          <w:p w14:paraId="49D249AC" w14:textId="77777777" w:rsidR="008D4CA5" w:rsidRPr="008D4CA5" w:rsidRDefault="00AE5D97" w:rsidP="00056829">
            <w:r>
              <w:t>(</w:t>
            </w:r>
            <w:proofErr w:type="gramStart"/>
            <w:r>
              <w:t>bleep</w:t>
            </w:r>
            <w:proofErr w:type="gramEnd"/>
            <w:r>
              <w:t xml:space="preserve"> 2130)</w:t>
            </w:r>
          </w:p>
        </w:tc>
        <w:tc>
          <w:tcPr>
            <w:tcW w:w="1822" w:type="dxa"/>
          </w:tcPr>
          <w:p w14:paraId="23612686" w14:textId="77777777" w:rsidR="008D4CA5" w:rsidRPr="008D4CA5" w:rsidRDefault="00AE5D97" w:rsidP="00056829">
            <w:r>
              <w:t>1 full shift</w:t>
            </w:r>
          </w:p>
        </w:tc>
      </w:tr>
      <w:tr w:rsidR="008D4CA5" w14:paraId="324D8243" w14:textId="77777777" w:rsidTr="00AE5D97">
        <w:trPr>
          <w:trHeight w:val="277"/>
        </w:trPr>
        <w:tc>
          <w:tcPr>
            <w:tcW w:w="1819" w:type="dxa"/>
          </w:tcPr>
          <w:p w14:paraId="31FCC04B" w14:textId="77777777" w:rsidR="008D4CA5" w:rsidRPr="008D4CA5" w:rsidRDefault="00AE5D97" w:rsidP="00056829">
            <w:r>
              <w:t>Bed manager</w:t>
            </w:r>
          </w:p>
        </w:tc>
        <w:tc>
          <w:tcPr>
            <w:tcW w:w="2542" w:type="dxa"/>
          </w:tcPr>
          <w:p w14:paraId="4869D177" w14:textId="77777777" w:rsidR="008D4CA5" w:rsidRPr="008D4CA5" w:rsidRDefault="00AE5D97" w:rsidP="00056829">
            <w:r>
              <w:t>Patient flow, working with bed allocations</w:t>
            </w:r>
          </w:p>
        </w:tc>
        <w:tc>
          <w:tcPr>
            <w:tcW w:w="1216" w:type="dxa"/>
          </w:tcPr>
          <w:p w14:paraId="1E95A25E" w14:textId="77777777" w:rsidR="008D4CA5" w:rsidRPr="008D4CA5" w:rsidRDefault="00AE5D97" w:rsidP="00056829">
            <w:r>
              <w:t>3</w:t>
            </w:r>
            <w:r w:rsidRPr="00AE5D97">
              <w:rPr>
                <w:vertAlign w:val="superscript"/>
              </w:rPr>
              <w:t>rd</w:t>
            </w:r>
            <w:r>
              <w:t xml:space="preserve"> years only</w:t>
            </w:r>
          </w:p>
        </w:tc>
        <w:tc>
          <w:tcPr>
            <w:tcW w:w="1823" w:type="dxa"/>
          </w:tcPr>
          <w:p w14:paraId="6D82A558" w14:textId="77777777" w:rsidR="008D4CA5" w:rsidRDefault="00AE5D97" w:rsidP="00056829">
            <w:r>
              <w:t>Medical bleep 3095</w:t>
            </w:r>
          </w:p>
          <w:p w14:paraId="480E1FD2" w14:textId="77777777" w:rsidR="00AE5D97" w:rsidRPr="008D4CA5" w:rsidRDefault="00AE5D97" w:rsidP="00056829">
            <w:r>
              <w:t>Surgical bleep 2369</w:t>
            </w:r>
          </w:p>
        </w:tc>
        <w:tc>
          <w:tcPr>
            <w:tcW w:w="1822" w:type="dxa"/>
          </w:tcPr>
          <w:p w14:paraId="60E7A90F" w14:textId="77777777" w:rsidR="008D4CA5" w:rsidRPr="008D4CA5" w:rsidRDefault="00AE5D97" w:rsidP="00056829">
            <w:r>
              <w:t>1 full shift</w:t>
            </w:r>
          </w:p>
        </w:tc>
      </w:tr>
      <w:tr w:rsidR="008D4CA5" w14:paraId="1BBE45A9" w14:textId="77777777" w:rsidTr="00AE5D97">
        <w:trPr>
          <w:trHeight w:val="262"/>
        </w:trPr>
        <w:tc>
          <w:tcPr>
            <w:tcW w:w="1819" w:type="dxa"/>
          </w:tcPr>
          <w:p w14:paraId="628B07B3" w14:textId="77777777" w:rsidR="008D4CA5" w:rsidRPr="008D4CA5" w:rsidRDefault="00AE5D97" w:rsidP="00056829">
            <w:r>
              <w:t>CAST</w:t>
            </w:r>
          </w:p>
        </w:tc>
        <w:tc>
          <w:tcPr>
            <w:tcW w:w="2542" w:type="dxa"/>
          </w:tcPr>
          <w:p w14:paraId="0AB3432F" w14:textId="77777777" w:rsidR="008D4CA5" w:rsidRPr="008D4CA5" w:rsidRDefault="00AE5D97" w:rsidP="00056829">
            <w:r>
              <w:t>Airway management, long term condition care</w:t>
            </w:r>
          </w:p>
        </w:tc>
        <w:tc>
          <w:tcPr>
            <w:tcW w:w="1216" w:type="dxa"/>
          </w:tcPr>
          <w:p w14:paraId="1A251DCB" w14:textId="77777777" w:rsidR="008D4CA5" w:rsidRPr="008D4CA5" w:rsidRDefault="008D4CA5" w:rsidP="00056829"/>
        </w:tc>
        <w:tc>
          <w:tcPr>
            <w:tcW w:w="1823" w:type="dxa"/>
          </w:tcPr>
          <w:p w14:paraId="1CF4C5AC" w14:textId="77777777" w:rsidR="008D4CA5" w:rsidRPr="008D4CA5" w:rsidRDefault="00AE5D97" w:rsidP="00056829">
            <w:r>
              <w:t>206 3165</w:t>
            </w:r>
          </w:p>
        </w:tc>
        <w:tc>
          <w:tcPr>
            <w:tcW w:w="1822" w:type="dxa"/>
          </w:tcPr>
          <w:p w14:paraId="7550118D" w14:textId="77777777" w:rsidR="008D4CA5" w:rsidRPr="008D4CA5" w:rsidRDefault="00AE5D97" w:rsidP="00056829">
            <w:r>
              <w:t>1 full shift</w:t>
            </w:r>
          </w:p>
        </w:tc>
      </w:tr>
      <w:tr w:rsidR="008D4CA5" w14:paraId="3B816664" w14:textId="77777777" w:rsidTr="00AE5D97">
        <w:trPr>
          <w:trHeight w:val="277"/>
        </w:trPr>
        <w:tc>
          <w:tcPr>
            <w:tcW w:w="1819" w:type="dxa"/>
          </w:tcPr>
          <w:p w14:paraId="6D832C8C" w14:textId="45155A2D" w:rsidR="008D4CA5" w:rsidRPr="008D4CA5" w:rsidRDefault="000F037D" w:rsidP="00056829">
            <w:r>
              <w:t xml:space="preserve">Frailty </w:t>
            </w:r>
          </w:p>
        </w:tc>
        <w:tc>
          <w:tcPr>
            <w:tcW w:w="2542" w:type="dxa"/>
          </w:tcPr>
          <w:p w14:paraId="5C50F3FD" w14:textId="77777777" w:rsidR="008D4CA5" w:rsidRPr="008D4CA5" w:rsidRDefault="00AE5D97" w:rsidP="00056829">
            <w:r>
              <w:t>Care of dementia patients, management and strategies</w:t>
            </w:r>
          </w:p>
        </w:tc>
        <w:tc>
          <w:tcPr>
            <w:tcW w:w="1216" w:type="dxa"/>
          </w:tcPr>
          <w:p w14:paraId="28AD17F0" w14:textId="77777777" w:rsidR="008D4CA5" w:rsidRPr="008D4CA5" w:rsidRDefault="008D4CA5" w:rsidP="00056829"/>
        </w:tc>
        <w:tc>
          <w:tcPr>
            <w:tcW w:w="1823" w:type="dxa"/>
          </w:tcPr>
          <w:p w14:paraId="1C4A8A62" w14:textId="7B189DB1" w:rsidR="008D4CA5" w:rsidRPr="008D4CA5" w:rsidRDefault="000F037D" w:rsidP="00056829">
            <w:r>
              <w:t>Available on EAU</w:t>
            </w:r>
            <w:r w:rsidR="00AE5D97">
              <w:t xml:space="preserve"> </w:t>
            </w:r>
          </w:p>
        </w:tc>
        <w:tc>
          <w:tcPr>
            <w:tcW w:w="1822" w:type="dxa"/>
          </w:tcPr>
          <w:p w14:paraId="72AB9509" w14:textId="77777777" w:rsidR="008D4CA5" w:rsidRPr="008D4CA5" w:rsidRDefault="00AE5D97" w:rsidP="00056829">
            <w:r>
              <w:t>1 Full shift</w:t>
            </w:r>
          </w:p>
        </w:tc>
      </w:tr>
      <w:tr w:rsidR="008D4CA5" w14:paraId="361C5ACF" w14:textId="77777777" w:rsidTr="00AE5D97">
        <w:trPr>
          <w:trHeight w:val="277"/>
        </w:trPr>
        <w:tc>
          <w:tcPr>
            <w:tcW w:w="1819" w:type="dxa"/>
          </w:tcPr>
          <w:p w14:paraId="6E41E85C" w14:textId="77777777" w:rsidR="008D4CA5" w:rsidRPr="008D4CA5" w:rsidRDefault="00AE5D97" w:rsidP="00056829">
            <w:r>
              <w:t>Diabetes specialist nurse</w:t>
            </w:r>
          </w:p>
        </w:tc>
        <w:tc>
          <w:tcPr>
            <w:tcW w:w="2542" w:type="dxa"/>
          </w:tcPr>
          <w:p w14:paraId="717C100C" w14:textId="77777777" w:rsidR="008D4CA5" w:rsidRDefault="00AE5D97" w:rsidP="00056829">
            <w:r>
              <w:t>Manage diabetes</w:t>
            </w:r>
          </w:p>
          <w:p w14:paraId="3F809BAA" w14:textId="77777777" w:rsidR="00AE5D97" w:rsidRPr="008D4CA5" w:rsidRDefault="00AE5D97" w:rsidP="00056829">
            <w:r>
              <w:t>Different insulin/medication and how they work</w:t>
            </w:r>
          </w:p>
        </w:tc>
        <w:tc>
          <w:tcPr>
            <w:tcW w:w="1216" w:type="dxa"/>
          </w:tcPr>
          <w:p w14:paraId="43E0939C" w14:textId="77777777" w:rsidR="008D4CA5" w:rsidRPr="008D4CA5" w:rsidRDefault="008D4CA5" w:rsidP="00056829"/>
        </w:tc>
        <w:tc>
          <w:tcPr>
            <w:tcW w:w="1823" w:type="dxa"/>
          </w:tcPr>
          <w:p w14:paraId="198BB31F" w14:textId="77777777" w:rsidR="00AE5D97" w:rsidRDefault="00AE5D97" w:rsidP="00056829">
            <w:r>
              <w:t xml:space="preserve">Louise Wong </w:t>
            </w:r>
          </w:p>
          <w:p w14:paraId="1F6371DF" w14:textId="77777777" w:rsidR="008D4CA5" w:rsidRPr="008D4CA5" w:rsidRDefault="00AE5D97" w:rsidP="00056829">
            <w:r>
              <w:t>206 0203</w:t>
            </w:r>
          </w:p>
        </w:tc>
        <w:tc>
          <w:tcPr>
            <w:tcW w:w="1822" w:type="dxa"/>
          </w:tcPr>
          <w:p w14:paraId="45144809" w14:textId="77777777" w:rsidR="008D4CA5" w:rsidRPr="008D4CA5" w:rsidRDefault="00AE5D97" w:rsidP="00056829">
            <w:r>
              <w:t>½ Shift</w:t>
            </w:r>
          </w:p>
        </w:tc>
      </w:tr>
      <w:tr w:rsidR="008D4CA5" w14:paraId="6EC36E60" w14:textId="77777777" w:rsidTr="00AE5D97">
        <w:trPr>
          <w:trHeight w:val="277"/>
        </w:trPr>
        <w:tc>
          <w:tcPr>
            <w:tcW w:w="1819" w:type="dxa"/>
          </w:tcPr>
          <w:p w14:paraId="78D4935C" w14:textId="77777777" w:rsidR="008D4CA5" w:rsidRPr="008D4CA5" w:rsidRDefault="00AE5D97" w:rsidP="00056829">
            <w:r>
              <w:t>Medical High Dependency Unit</w:t>
            </w:r>
          </w:p>
        </w:tc>
        <w:tc>
          <w:tcPr>
            <w:tcW w:w="2542" w:type="dxa"/>
          </w:tcPr>
          <w:p w14:paraId="0E261A4D" w14:textId="77777777" w:rsidR="008D4CA5" w:rsidRPr="008D4CA5" w:rsidRDefault="00AE5D97" w:rsidP="00056829">
            <w:r>
              <w:t>Various (seriously ill, severe organ failure patients)</w:t>
            </w:r>
          </w:p>
        </w:tc>
        <w:tc>
          <w:tcPr>
            <w:tcW w:w="1216" w:type="dxa"/>
          </w:tcPr>
          <w:p w14:paraId="66CBA269" w14:textId="77777777" w:rsidR="008D4CA5" w:rsidRPr="008D4CA5" w:rsidRDefault="008D4CA5" w:rsidP="00056829"/>
        </w:tc>
        <w:tc>
          <w:tcPr>
            <w:tcW w:w="1823" w:type="dxa"/>
          </w:tcPr>
          <w:p w14:paraId="2D2276F4" w14:textId="77777777" w:rsidR="00AE5D97" w:rsidRDefault="00AE5D97" w:rsidP="00056829">
            <w:r>
              <w:t xml:space="preserve">Ruth Mangaoang </w:t>
            </w:r>
          </w:p>
          <w:p w14:paraId="1E3A3C32" w14:textId="77777777" w:rsidR="008D4CA5" w:rsidRPr="008D4CA5" w:rsidRDefault="00AE5D97" w:rsidP="00056829">
            <w:r>
              <w:t>206 5783</w:t>
            </w:r>
          </w:p>
        </w:tc>
        <w:tc>
          <w:tcPr>
            <w:tcW w:w="1822" w:type="dxa"/>
          </w:tcPr>
          <w:p w14:paraId="3B23FD91" w14:textId="77777777" w:rsidR="008D4CA5" w:rsidRPr="008D4CA5" w:rsidRDefault="00AE5D97" w:rsidP="00056829">
            <w:r>
              <w:t>1 Full shift</w:t>
            </w:r>
          </w:p>
        </w:tc>
      </w:tr>
      <w:tr w:rsidR="00AE5D97" w14:paraId="6F56C2C4" w14:textId="77777777" w:rsidTr="00AE5D97">
        <w:trPr>
          <w:trHeight w:val="277"/>
        </w:trPr>
        <w:tc>
          <w:tcPr>
            <w:tcW w:w="1819" w:type="dxa"/>
          </w:tcPr>
          <w:p w14:paraId="5A6E5CBF" w14:textId="77777777" w:rsidR="00AE5D97" w:rsidRDefault="00AE5D97" w:rsidP="00056829">
            <w:r>
              <w:t>Radiology</w:t>
            </w:r>
          </w:p>
        </w:tc>
        <w:tc>
          <w:tcPr>
            <w:tcW w:w="2542" w:type="dxa"/>
          </w:tcPr>
          <w:p w14:paraId="56E8FF99" w14:textId="77777777" w:rsidR="00AE5D97" w:rsidRDefault="00AE5D97" w:rsidP="00056829">
            <w:r>
              <w:t>Different scans and differences</w:t>
            </w:r>
          </w:p>
        </w:tc>
        <w:tc>
          <w:tcPr>
            <w:tcW w:w="1216" w:type="dxa"/>
          </w:tcPr>
          <w:p w14:paraId="43A28638" w14:textId="77777777" w:rsidR="00AE5D97" w:rsidRPr="008D4CA5" w:rsidRDefault="00AE5D97" w:rsidP="00056829"/>
        </w:tc>
        <w:tc>
          <w:tcPr>
            <w:tcW w:w="1823" w:type="dxa"/>
          </w:tcPr>
          <w:p w14:paraId="4D03F2ED" w14:textId="77777777" w:rsidR="00AE5D97" w:rsidRDefault="00AE5D97" w:rsidP="00056829">
            <w:r>
              <w:t xml:space="preserve">Elaine McKnight </w:t>
            </w:r>
          </w:p>
          <w:p w14:paraId="2B8B4D1C" w14:textId="77777777" w:rsidR="00AE5D97" w:rsidRDefault="00AE5D97" w:rsidP="00056829">
            <w:r>
              <w:t>206 2206</w:t>
            </w:r>
          </w:p>
        </w:tc>
        <w:tc>
          <w:tcPr>
            <w:tcW w:w="1822" w:type="dxa"/>
          </w:tcPr>
          <w:p w14:paraId="1A19EAF0" w14:textId="77777777" w:rsidR="00AE5D97" w:rsidRDefault="00AE5D97" w:rsidP="00056829">
            <w:r>
              <w:t>1 Full shift</w:t>
            </w:r>
          </w:p>
        </w:tc>
      </w:tr>
      <w:tr w:rsidR="00AE5D97" w14:paraId="1BB87C39" w14:textId="77777777" w:rsidTr="00AE5D97">
        <w:trPr>
          <w:trHeight w:val="277"/>
        </w:trPr>
        <w:tc>
          <w:tcPr>
            <w:tcW w:w="1819" w:type="dxa"/>
          </w:tcPr>
          <w:p w14:paraId="6E7AC147" w14:textId="7A737A3A" w:rsidR="00AE5D97" w:rsidRDefault="003071F1" w:rsidP="00056829">
            <w:r>
              <w:t>Home First</w:t>
            </w:r>
          </w:p>
        </w:tc>
        <w:tc>
          <w:tcPr>
            <w:tcW w:w="2542" w:type="dxa"/>
          </w:tcPr>
          <w:p w14:paraId="7655A62B" w14:textId="77777777" w:rsidR="00AE5D97" w:rsidRDefault="00AE5D97" w:rsidP="00056829">
            <w:r>
              <w:t>Mobility, safe discharges, follow up. MDT teams</w:t>
            </w:r>
          </w:p>
        </w:tc>
        <w:tc>
          <w:tcPr>
            <w:tcW w:w="1216" w:type="dxa"/>
          </w:tcPr>
          <w:p w14:paraId="4ED4B6AE" w14:textId="77777777" w:rsidR="00AE5D97" w:rsidRPr="008D4CA5" w:rsidRDefault="00AE5D97" w:rsidP="00056829"/>
        </w:tc>
        <w:tc>
          <w:tcPr>
            <w:tcW w:w="1823" w:type="dxa"/>
          </w:tcPr>
          <w:p w14:paraId="7C5F59C0" w14:textId="052557B5" w:rsidR="00AE5D97" w:rsidRDefault="000F037D" w:rsidP="00056829">
            <w:r>
              <w:t>206 6666</w:t>
            </w:r>
          </w:p>
        </w:tc>
        <w:tc>
          <w:tcPr>
            <w:tcW w:w="1822" w:type="dxa"/>
          </w:tcPr>
          <w:p w14:paraId="710303DF" w14:textId="77777777" w:rsidR="00AE5D97" w:rsidRDefault="00AE5D97" w:rsidP="00056829">
            <w:r>
              <w:t>1 Full shift</w:t>
            </w:r>
          </w:p>
        </w:tc>
      </w:tr>
      <w:tr w:rsidR="00C37E42" w14:paraId="1721A63F" w14:textId="77777777" w:rsidTr="00AE5D97">
        <w:trPr>
          <w:trHeight w:val="277"/>
        </w:trPr>
        <w:tc>
          <w:tcPr>
            <w:tcW w:w="1819" w:type="dxa"/>
          </w:tcPr>
          <w:p w14:paraId="0F825414" w14:textId="77777777" w:rsidR="00C37E42" w:rsidRDefault="00C37E42" w:rsidP="00056829">
            <w:r>
              <w:t>Pharmacy</w:t>
            </w:r>
          </w:p>
        </w:tc>
        <w:tc>
          <w:tcPr>
            <w:tcW w:w="2542" w:type="dxa"/>
          </w:tcPr>
          <w:p w14:paraId="15E02DAE" w14:textId="3932B3AD" w:rsidR="00C37E42" w:rsidRDefault="003071F1" w:rsidP="00056829">
            <w:r>
              <w:t>Medications</w:t>
            </w:r>
            <w:r w:rsidR="00C37E42">
              <w:t xml:space="preserve">, </w:t>
            </w:r>
            <w:proofErr w:type="gramStart"/>
            <w:r w:rsidR="00C37E42">
              <w:t>formulations</w:t>
            </w:r>
            <w:proofErr w:type="gramEnd"/>
            <w:r w:rsidR="00C37E42">
              <w:t xml:space="preserve"> and common issues</w:t>
            </w:r>
          </w:p>
        </w:tc>
        <w:tc>
          <w:tcPr>
            <w:tcW w:w="1216" w:type="dxa"/>
          </w:tcPr>
          <w:p w14:paraId="54451858" w14:textId="77777777" w:rsidR="00C37E42" w:rsidRPr="008D4CA5" w:rsidRDefault="00C37E42" w:rsidP="00056829"/>
        </w:tc>
        <w:tc>
          <w:tcPr>
            <w:tcW w:w="1823" w:type="dxa"/>
          </w:tcPr>
          <w:p w14:paraId="79C3C148" w14:textId="77777777" w:rsidR="00C37E42" w:rsidRDefault="00C37E42" w:rsidP="00056829">
            <w:r>
              <w:t>Alison – contact in EAU pharmacy office</w:t>
            </w:r>
          </w:p>
        </w:tc>
        <w:tc>
          <w:tcPr>
            <w:tcW w:w="1822" w:type="dxa"/>
          </w:tcPr>
          <w:p w14:paraId="65DAD4C6" w14:textId="77777777" w:rsidR="00C37E42" w:rsidRDefault="00C37E42" w:rsidP="00056829">
            <w:r>
              <w:t>½ Shift</w:t>
            </w:r>
          </w:p>
        </w:tc>
      </w:tr>
    </w:tbl>
    <w:p w14:paraId="00F36B19" w14:textId="77777777" w:rsidR="00E95D5B" w:rsidRDefault="00E95D5B" w:rsidP="00AD5507"/>
    <w:p w14:paraId="15605801" w14:textId="77777777" w:rsidR="00E95D5B" w:rsidRDefault="00E95D5B">
      <w:r>
        <w:br w:type="page"/>
      </w:r>
    </w:p>
    <w:p w14:paraId="2C1CE180" w14:textId="77777777" w:rsidR="00AD5507" w:rsidRPr="00F44933" w:rsidRDefault="00E95D5B" w:rsidP="00AD5507">
      <w:pPr>
        <w:rPr>
          <w:b/>
          <w:sz w:val="32"/>
          <w:szCs w:val="32"/>
        </w:rPr>
      </w:pPr>
      <w:r w:rsidRPr="00F44933">
        <w:rPr>
          <w:b/>
          <w:sz w:val="32"/>
          <w:szCs w:val="32"/>
        </w:rPr>
        <w:lastRenderedPageBreak/>
        <w:t>Evaluations</w:t>
      </w:r>
      <w:r w:rsidR="00F44933">
        <w:rPr>
          <w:b/>
          <w:sz w:val="32"/>
          <w:szCs w:val="32"/>
        </w:rPr>
        <w:t>:</w:t>
      </w:r>
    </w:p>
    <w:p w14:paraId="6B03C73F" w14:textId="77777777" w:rsidR="00E95D5B" w:rsidRDefault="00E95D5B" w:rsidP="00AD5507">
      <w:r>
        <w:t>Please complete the evaluation</w:t>
      </w:r>
      <w:r w:rsidR="00F44933">
        <w:t xml:space="preserve"> on PARE, as well as hand in a copy of your</w:t>
      </w:r>
      <w:r>
        <w:t xml:space="preserve"> reflections and the learning pack at the end of your placement. This will enable us to continue to improve our practice and get better at teaching your future colleagues.</w:t>
      </w:r>
    </w:p>
    <w:p w14:paraId="0AFFB8FC" w14:textId="77777777" w:rsidR="00E95D5B" w:rsidRDefault="00E95D5B" w:rsidP="00AD5507">
      <w:r>
        <w:t>If you, at the end of the placement (no matter what year), are interested in joining our team of nurses, please see one of t</w:t>
      </w:r>
      <w:r w:rsidR="00F44933">
        <w:t>he managers for information on how to proceed with recruitment and applications.</w:t>
      </w:r>
    </w:p>
    <w:p w14:paraId="61571494" w14:textId="77777777" w:rsidR="00F44933" w:rsidRDefault="00F44933" w:rsidP="00AD5507"/>
    <w:p w14:paraId="64BD5CC3" w14:textId="77777777" w:rsidR="00F44933" w:rsidRPr="00F44933" w:rsidRDefault="00F44933" w:rsidP="00AD5507">
      <w:pPr>
        <w:rPr>
          <w:b/>
          <w:sz w:val="32"/>
          <w:szCs w:val="32"/>
        </w:rPr>
      </w:pPr>
      <w:r w:rsidRPr="00F44933">
        <w:rPr>
          <w:b/>
          <w:sz w:val="32"/>
          <w:szCs w:val="32"/>
        </w:rPr>
        <w:t>Last words:</w:t>
      </w:r>
    </w:p>
    <w:p w14:paraId="4F9C8D5D" w14:textId="77777777" w:rsidR="00F44933" w:rsidRPr="00E95D5B" w:rsidRDefault="00F44933" w:rsidP="00AD5507">
      <w:r>
        <w:t>We hope you enjoy your placement with us, and that you seize the opportunity to learn as much as possible. If you have any ideas to improve the learning experience with us, please contact one of the PELs with suggestions.</w:t>
      </w:r>
    </w:p>
    <w:sectPr w:rsidR="00F44933" w:rsidRPr="00E95D5B" w:rsidSect="00AD550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6EAF" w14:textId="77777777" w:rsidR="00F44933" w:rsidRDefault="00F44933" w:rsidP="004A2294">
      <w:pPr>
        <w:spacing w:after="0" w:line="240" w:lineRule="auto"/>
      </w:pPr>
      <w:r>
        <w:separator/>
      </w:r>
    </w:p>
  </w:endnote>
  <w:endnote w:type="continuationSeparator" w:id="0">
    <w:p w14:paraId="16AEF71D" w14:textId="77777777" w:rsidR="00F44933" w:rsidRDefault="00F44933" w:rsidP="004A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46030"/>
      <w:docPartObj>
        <w:docPartGallery w:val="Page Numbers (Bottom of Page)"/>
        <w:docPartUnique/>
      </w:docPartObj>
    </w:sdtPr>
    <w:sdtEndPr>
      <w:rPr>
        <w:noProof/>
      </w:rPr>
    </w:sdtEndPr>
    <w:sdtContent>
      <w:p w14:paraId="3E4E3DEA" w14:textId="77777777" w:rsidR="00F44933" w:rsidRDefault="00F44933">
        <w:pPr>
          <w:pStyle w:val="Footer"/>
          <w:jc w:val="right"/>
        </w:pPr>
        <w:r>
          <w:fldChar w:fldCharType="begin"/>
        </w:r>
        <w:r>
          <w:instrText xml:space="preserve"> PAGE   \* MERGEFORMAT </w:instrText>
        </w:r>
        <w:r>
          <w:fldChar w:fldCharType="separate"/>
        </w:r>
        <w:r w:rsidR="00497727">
          <w:rPr>
            <w:noProof/>
          </w:rPr>
          <w:t>2</w:t>
        </w:r>
        <w:r>
          <w:rPr>
            <w:noProof/>
          </w:rPr>
          <w:fldChar w:fldCharType="end"/>
        </w:r>
      </w:p>
    </w:sdtContent>
  </w:sdt>
  <w:p w14:paraId="5AAA1A24" w14:textId="77777777" w:rsidR="00F44933" w:rsidRDefault="00F4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A89B" w14:textId="77777777" w:rsidR="00F44933" w:rsidRDefault="00F44933" w:rsidP="004A2294">
      <w:pPr>
        <w:spacing w:after="0" w:line="240" w:lineRule="auto"/>
      </w:pPr>
      <w:r>
        <w:separator/>
      </w:r>
    </w:p>
  </w:footnote>
  <w:footnote w:type="continuationSeparator" w:id="0">
    <w:p w14:paraId="1F020CD2" w14:textId="77777777" w:rsidR="00F44933" w:rsidRDefault="00F44933" w:rsidP="004A2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94"/>
    <w:rsid w:val="000340B9"/>
    <w:rsid w:val="00046CF1"/>
    <w:rsid w:val="00056829"/>
    <w:rsid w:val="000F037D"/>
    <w:rsid w:val="001E626B"/>
    <w:rsid w:val="00244DD1"/>
    <w:rsid w:val="003071F1"/>
    <w:rsid w:val="003507F0"/>
    <w:rsid w:val="004449CD"/>
    <w:rsid w:val="00497727"/>
    <w:rsid w:val="004A2294"/>
    <w:rsid w:val="00554D28"/>
    <w:rsid w:val="006F78F1"/>
    <w:rsid w:val="007740D4"/>
    <w:rsid w:val="00785F53"/>
    <w:rsid w:val="008D4CA5"/>
    <w:rsid w:val="0098314C"/>
    <w:rsid w:val="00AD5507"/>
    <w:rsid w:val="00AE5D97"/>
    <w:rsid w:val="00B9662D"/>
    <w:rsid w:val="00C37E42"/>
    <w:rsid w:val="00C45D8B"/>
    <w:rsid w:val="00CC5ECC"/>
    <w:rsid w:val="00D42033"/>
    <w:rsid w:val="00DE6182"/>
    <w:rsid w:val="00E0242B"/>
    <w:rsid w:val="00E21C93"/>
    <w:rsid w:val="00E95D5B"/>
    <w:rsid w:val="00ED2575"/>
    <w:rsid w:val="00F4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17CDA"/>
  <w15:docId w15:val="{E2EDD717-72CC-4701-9C69-B3DD2D4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294"/>
  </w:style>
  <w:style w:type="paragraph" w:styleId="Footer">
    <w:name w:val="footer"/>
    <w:basedOn w:val="Normal"/>
    <w:link w:val="FooterChar"/>
    <w:uiPriority w:val="99"/>
    <w:unhideWhenUsed/>
    <w:rsid w:val="004A2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294"/>
  </w:style>
  <w:style w:type="paragraph" w:styleId="BalloonText">
    <w:name w:val="Balloon Text"/>
    <w:basedOn w:val="Normal"/>
    <w:link w:val="BalloonTextChar"/>
    <w:uiPriority w:val="99"/>
    <w:semiHidden/>
    <w:unhideWhenUsed/>
    <w:rsid w:val="004A2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94"/>
    <w:rPr>
      <w:rFonts w:ascii="Tahoma" w:hAnsi="Tahoma" w:cs="Tahoma"/>
      <w:sz w:val="16"/>
      <w:szCs w:val="16"/>
    </w:rPr>
  </w:style>
  <w:style w:type="character" w:styleId="Hyperlink">
    <w:name w:val="Hyperlink"/>
    <w:basedOn w:val="DefaultParagraphFont"/>
    <w:uiPriority w:val="99"/>
    <w:unhideWhenUsed/>
    <w:rsid w:val="00046CF1"/>
    <w:rPr>
      <w:color w:val="0000FF" w:themeColor="hyperlink"/>
      <w:u w:val="single"/>
    </w:rPr>
  </w:style>
  <w:style w:type="table" w:styleId="TableGrid">
    <w:name w:val="Table Grid"/>
    <w:basedOn w:val="TableNormal"/>
    <w:uiPriority w:val="59"/>
    <w:rsid w:val="008D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Julianah.Oluwasakin@srft.nhs.uk" TargetMode="External"/><Relationship Id="rId4" Type="http://schemas.openxmlformats.org/officeDocument/2006/relationships/footnotes" Target="footnotes.xml"/><Relationship Id="rId9" Type="http://schemas.openxmlformats.org/officeDocument/2006/relationships/hyperlink" Target="mailto:jade.teeling@nc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Madelene Ho</dc:creator>
  <cp:lastModifiedBy>Jade Teeling</cp:lastModifiedBy>
  <cp:revision>5</cp:revision>
  <cp:lastPrinted>2019-09-24T10:54:00Z</cp:lastPrinted>
  <dcterms:created xsi:type="dcterms:W3CDTF">2023-05-26T14:20:00Z</dcterms:created>
  <dcterms:modified xsi:type="dcterms:W3CDTF">2023-08-29T16:36:00Z</dcterms:modified>
</cp:coreProperties>
</file>